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8711" w14:textId="5FBFE8BC" w:rsidR="001C6524" w:rsidRPr="001C6524" w:rsidRDefault="001C6524" w:rsidP="001C6524">
      <w:pPr>
        <w:rPr>
          <w:rFonts w:ascii="Times New Roman" w:eastAsia="仿宋" w:hAnsi="Times New Roman"/>
          <w:sz w:val="28"/>
          <w:szCs w:val="28"/>
        </w:rPr>
      </w:pPr>
      <w:bookmarkStart w:id="0" w:name="_Hlk54775692"/>
      <w:r w:rsidRPr="001C6524"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/>
          <w:sz w:val="28"/>
          <w:szCs w:val="28"/>
        </w:rPr>
        <w:t>5</w:t>
      </w:r>
    </w:p>
    <w:p w14:paraId="7075AFAD" w14:textId="5C6FD442" w:rsidR="000E4E2B" w:rsidRPr="00864F04" w:rsidRDefault="005A4497">
      <w:pPr>
        <w:jc w:val="center"/>
        <w:rPr>
          <w:rFonts w:ascii="Times New Roman" w:hAnsi="Times New Roman"/>
          <w:b/>
          <w:sz w:val="32"/>
          <w:szCs w:val="24"/>
        </w:rPr>
      </w:pPr>
      <w:r w:rsidRPr="005A4497">
        <w:rPr>
          <w:rFonts w:ascii="Times New Roman" w:hAnsi="Times New Roman" w:hint="eastAsia"/>
          <w:b/>
          <w:sz w:val="32"/>
          <w:szCs w:val="24"/>
        </w:rPr>
        <w:t>《北京大学实验动物中心</w:t>
      </w:r>
      <w:r w:rsidRPr="005A4497">
        <w:rPr>
          <w:rFonts w:ascii="Times New Roman" w:hAnsi="Times New Roman" w:hint="eastAsia"/>
          <w:b/>
          <w:sz w:val="32"/>
          <w:szCs w:val="24"/>
        </w:rPr>
        <w:t>D</w:t>
      </w:r>
      <w:r w:rsidRPr="005A4497">
        <w:rPr>
          <w:rFonts w:ascii="Times New Roman" w:hAnsi="Times New Roman" w:hint="eastAsia"/>
          <w:b/>
          <w:sz w:val="32"/>
          <w:szCs w:val="24"/>
        </w:rPr>
        <w:t>区管理规则》</w:t>
      </w:r>
    </w:p>
    <w:bookmarkEnd w:id="0"/>
    <w:p w14:paraId="6DE185BE" w14:textId="77777777" w:rsidR="000E4E2B" w:rsidRPr="00864F04" w:rsidRDefault="000E4E2B" w:rsidP="00864F04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实验动物中心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是北京大学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校级公共服务平台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，承担了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生命科学学院、</w:t>
      </w:r>
      <w:r w:rsidR="00525CD1"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分子医学研究所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、</w:t>
      </w:r>
      <w:r w:rsidR="00525CD1"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化学与分子学院、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心理与认知科学学院</w:t>
      </w:r>
      <w:r w:rsidR="008A1D44"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、工学院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等</w:t>
      </w:r>
      <w:r w:rsidR="008A1D44"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8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个院系、</w:t>
      </w:r>
      <w:r w:rsidR="00525CD1"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40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余个实验室</w:t>
      </w:r>
      <w:r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的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实验动物饲养、动物基因组修饰、品系保种</w:t>
      </w:r>
      <w:r w:rsidRPr="00013D3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、</w:t>
      </w:r>
      <w:r w:rsidRPr="00013D34">
        <w:rPr>
          <w:rFonts w:ascii="Times New Roman" w:eastAsia="仿宋" w:hAnsi="Times New Roman"/>
          <w:color w:val="000000"/>
          <w:kern w:val="0"/>
          <w:sz w:val="24"/>
          <w:szCs w:val="24"/>
        </w:rPr>
        <w:t>胚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胎移植、胚胎冷冻等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多项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技术服务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，为学校的科研工作开展提供了有力的技术支撑。近年来，动物中心的发展面临实验动物饲养空间严重不足的问题。为解决此问题，学校新建了吕志和楼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B2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新动物房（</w:t>
      </w:r>
      <w:r w:rsidR="00E5621D"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动物中心</w:t>
      </w:r>
      <w:r w:rsidR="00E5621D"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D</w:t>
      </w:r>
      <w:r w:rsidR="00E5621D"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区</w:t>
      </w:r>
      <w:r w:rsidR="00E5621D"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，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以下简称“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D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区”），该设施于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9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月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2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4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日获批了实验动物使用许可证，并</w:t>
      </w:r>
      <w:r w:rsidR="00E5621D"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已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启动运行。</w:t>
      </w:r>
    </w:p>
    <w:p w14:paraId="1F08FFB8" w14:textId="492ECB08" w:rsidR="008A375F" w:rsidRPr="009E5C12" w:rsidRDefault="000E4E2B" w:rsidP="009E5C12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为了保证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D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区设施规范有效运行，确保实验动物饲养和操作的规范性，保障实验人员安全和实验动物健康，我们根据《实验动物管理条例》、《关于善待实验动物的指导意见》等法规的具体要求，参考了国内其他高校</w:t>
      </w:r>
      <w:r w:rsid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和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研究所的管理规范，结合多年来在实验动物设施运行管理工作中积累的经验，研究起草了《实验动物设施管理规则</w:t>
      </w:r>
      <w:bookmarkStart w:id="1" w:name="_GoBack"/>
      <w:bookmarkEnd w:id="1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》。</w:t>
      </w:r>
    </w:p>
    <w:p w14:paraId="3746FD1A" w14:textId="77777777" w:rsidR="000E4E2B" w:rsidRPr="00864F04" w:rsidRDefault="000E4E2B" w:rsidP="00864F04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  <w:bookmarkStart w:id="2" w:name="_Hlk54776613"/>
      <w:r w:rsidRPr="00864F04">
        <w:rPr>
          <w:rFonts w:ascii="Times New Roman" w:eastAsia="仿宋" w:hAnsi="Times New Roman"/>
          <w:b/>
          <w:color w:val="000000"/>
          <w:kern w:val="0"/>
          <w:sz w:val="24"/>
          <w:szCs w:val="24"/>
        </w:rPr>
        <w:t>一、</w:t>
      </w:r>
      <w:r w:rsidRPr="00864F04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概况</w:t>
      </w:r>
    </w:p>
    <w:bookmarkEnd w:id="2"/>
    <w:p w14:paraId="39689E52" w14:textId="77777777" w:rsidR="000E4E2B" w:rsidRPr="00864F04" w:rsidRDefault="000E4E2B" w:rsidP="00864F04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D</w:t>
      </w:r>
      <w:proofErr w:type="gramStart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区动物</w:t>
      </w:r>
      <w:proofErr w:type="gramEnd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设施净化面积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300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m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  <w:vertAlign w:val="superscript"/>
        </w:rPr>
        <w:t>2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，共有小鼠饲养室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个、大鼠饲养室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个、实验室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4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个、隔离检疫室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个、免疫缺陷动物饲养室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个，可满足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1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0000</w:t>
      </w:r>
      <w:proofErr w:type="gramStart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余笼实</w:t>
      </w:r>
      <w:proofErr w:type="gramEnd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验动物的饲养需求。（设施分布图详见下图）</w:t>
      </w:r>
    </w:p>
    <w:p w14:paraId="7D8E7B63" w14:textId="77777777" w:rsidR="000E4E2B" w:rsidRDefault="007F1B16">
      <w:pPr>
        <w:widowControl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7F1B16">
        <w:rPr>
          <w:rFonts w:ascii="Times New Roman" w:eastAsia="仿宋" w:hAnsi="Times New Roman"/>
          <w:noProof/>
          <w:color w:val="000000"/>
          <w:kern w:val="0"/>
          <w:sz w:val="32"/>
          <w:szCs w:val="32"/>
        </w:rPr>
        <w:drawing>
          <wp:inline distT="0" distB="0" distL="0" distR="0" wp14:anchorId="28371A7B" wp14:editId="04EF4871">
            <wp:extent cx="4295954" cy="3056325"/>
            <wp:effectExtent l="0" t="0" r="952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07" cy="30625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8FBB" w14:textId="77777777" w:rsidR="000E4E2B" w:rsidRPr="00864F04" w:rsidRDefault="000E4E2B" w:rsidP="00864F04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  <w:bookmarkStart w:id="3" w:name="_Hlk54775941"/>
      <w:r w:rsidRPr="00864F04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lastRenderedPageBreak/>
        <w:t>二</w:t>
      </w:r>
      <w:r w:rsidRPr="00864F04">
        <w:rPr>
          <w:rFonts w:ascii="Times New Roman" w:eastAsia="仿宋" w:hAnsi="Times New Roman"/>
          <w:b/>
          <w:color w:val="000000"/>
          <w:kern w:val="0"/>
          <w:sz w:val="24"/>
          <w:szCs w:val="24"/>
        </w:rPr>
        <w:t>、</w:t>
      </w:r>
      <w:r w:rsidRPr="00864F04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分级管理</w:t>
      </w:r>
    </w:p>
    <w:p w14:paraId="2E8B2D38" w14:textId="18C38597" w:rsidR="008A375F" w:rsidRPr="00864F04" w:rsidRDefault="000E4E2B" w:rsidP="00C46F89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D</w:t>
      </w:r>
      <w:proofErr w:type="gramStart"/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区动物</w:t>
      </w:r>
      <w:proofErr w:type="gramEnd"/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设施将实行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分级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分区管理</w:t>
      </w:r>
      <w:bookmarkEnd w:id="3"/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，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分为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l</w:t>
      </w:r>
      <w:r w:rsidRPr="00864F04">
        <w:rPr>
          <w:rFonts w:ascii="Times New Roman" w:eastAsia="仿宋" w:hAnsi="Times New Roman"/>
          <w:color w:val="000000"/>
          <w:kern w:val="0"/>
          <w:sz w:val="24"/>
          <w:szCs w:val="24"/>
        </w:rPr>
        <w:t>evel1-5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五个级别，各级别房间和人员分布详见下表</w:t>
      </w:r>
      <w:r w:rsid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。</w:t>
      </w:r>
    </w:p>
    <w:p w14:paraId="2C529A08" w14:textId="77777777" w:rsidR="000E4E2B" w:rsidRDefault="000E4E2B">
      <w:pPr>
        <w:widowControl/>
        <w:ind w:firstLineChars="200" w:firstLine="482"/>
        <w:jc w:val="center"/>
        <w:rPr>
          <w:rFonts w:ascii="Times New Roman" w:eastAsia="仿宋" w:hAnsi="Times New Roman"/>
          <w:b/>
          <w:color w:val="000000"/>
          <w:kern w:val="0"/>
          <w:sz w:val="24"/>
          <w:szCs w:val="32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表</w:t>
      </w: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1</w:t>
      </w:r>
      <w:r>
        <w:rPr>
          <w:rFonts w:ascii="Times New Roman" w:eastAsia="仿宋" w:hAnsi="Times New Roman"/>
          <w:b/>
          <w:color w:val="000000"/>
          <w:kern w:val="0"/>
          <w:sz w:val="24"/>
          <w:szCs w:val="32"/>
        </w:rPr>
        <w:t xml:space="preserve">   D</w:t>
      </w:r>
      <w:proofErr w:type="gramStart"/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区设施</w:t>
      </w:r>
      <w:proofErr w:type="gramEnd"/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分级表</w:t>
      </w: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175"/>
        <w:gridCol w:w="1783"/>
        <w:gridCol w:w="2242"/>
        <w:gridCol w:w="2708"/>
      </w:tblGrid>
      <w:tr w:rsidR="000E4E2B" w:rsidRPr="0027304E" w14:paraId="6285D1FB" w14:textId="77777777" w:rsidTr="00DA2362">
        <w:trPr>
          <w:trHeight w:val="313"/>
        </w:trPr>
        <w:tc>
          <w:tcPr>
            <w:tcW w:w="701" w:type="dxa"/>
          </w:tcPr>
          <w:p w14:paraId="77EBF2D4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175" w:type="dxa"/>
          </w:tcPr>
          <w:p w14:paraId="31CFAB9F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级别</w:t>
            </w:r>
          </w:p>
        </w:tc>
        <w:tc>
          <w:tcPr>
            <w:tcW w:w="1783" w:type="dxa"/>
          </w:tcPr>
          <w:p w14:paraId="06F7CF4D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房间</w:t>
            </w:r>
          </w:p>
        </w:tc>
        <w:tc>
          <w:tcPr>
            <w:tcW w:w="2242" w:type="dxa"/>
          </w:tcPr>
          <w:p w14:paraId="6BD87CF6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用途</w:t>
            </w:r>
          </w:p>
        </w:tc>
        <w:tc>
          <w:tcPr>
            <w:tcW w:w="2708" w:type="dxa"/>
          </w:tcPr>
          <w:p w14:paraId="6B3EC7D9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授权进入人员</w:t>
            </w:r>
          </w:p>
        </w:tc>
      </w:tr>
      <w:tr w:rsidR="000E4E2B" w:rsidRPr="0027304E" w14:paraId="0D202FDE" w14:textId="77777777" w:rsidTr="00DA2362">
        <w:trPr>
          <w:trHeight w:val="313"/>
        </w:trPr>
        <w:tc>
          <w:tcPr>
            <w:tcW w:w="701" w:type="dxa"/>
          </w:tcPr>
          <w:p w14:paraId="42D577A7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175" w:type="dxa"/>
          </w:tcPr>
          <w:p w14:paraId="125C29F9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Level-1</w:t>
            </w:r>
            <w:r w:rsidR="00F531A4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  <w:tc>
          <w:tcPr>
            <w:tcW w:w="1783" w:type="dxa"/>
          </w:tcPr>
          <w:p w14:paraId="74C2E2F0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</w:t>
            </w:r>
            <w:proofErr w:type="gramStart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一</w:t>
            </w:r>
            <w:proofErr w:type="gramEnd"/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（硬包）</w:t>
            </w:r>
          </w:p>
        </w:tc>
        <w:tc>
          <w:tcPr>
            <w:tcW w:w="2242" w:type="dxa"/>
          </w:tcPr>
          <w:p w14:paraId="7388F4D7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免疫缺陷鼠的饲养</w:t>
            </w:r>
          </w:p>
        </w:tc>
        <w:tc>
          <w:tcPr>
            <w:tcW w:w="2708" w:type="dxa"/>
          </w:tcPr>
          <w:p w14:paraId="6825CC6C" w14:textId="77777777" w:rsidR="000E4E2B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实验动物中心指定工作人员、</w:t>
            </w:r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课题组指定备案人员（＜</w:t>
            </w:r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人</w:t>
            </w:r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/</w:t>
            </w:r>
            <w:r w:rsidR="00F531A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组）</w:t>
            </w:r>
          </w:p>
        </w:tc>
      </w:tr>
      <w:tr w:rsidR="00F531A4" w:rsidRPr="0027304E" w14:paraId="29CAB210" w14:textId="77777777" w:rsidTr="00DA2362">
        <w:trPr>
          <w:trHeight w:val="376"/>
        </w:trPr>
        <w:tc>
          <w:tcPr>
            <w:tcW w:w="701" w:type="dxa"/>
          </w:tcPr>
          <w:p w14:paraId="26D908F4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 w14:paraId="6F39400B" w14:textId="77777777" w:rsidR="00F531A4" w:rsidRDefault="00F531A4" w:rsidP="002D622D">
            <w:pPr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  <w:p w14:paraId="025AEA2C" w14:textId="77777777" w:rsidR="00F531A4" w:rsidRPr="0027304E" w:rsidRDefault="00F531A4" w:rsidP="002D622D">
            <w:pPr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F531A4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  <w:tc>
          <w:tcPr>
            <w:tcW w:w="1783" w:type="dxa"/>
          </w:tcPr>
          <w:p w14:paraId="74D65D58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动物房三</w:t>
            </w:r>
          </w:p>
        </w:tc>
        <w:tc>
          <w:tcPr>
            <w:tcW w:w="2242" w:type="dxa"/>
          </w:tcPr>
          <w:p w14:paraId="5EC7DE1F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种鼠和工具鼠的饲养</w:t>
            </w:r>
          </w:p>
        </w:tc>
        <w:tc>
          <w:tcPr>
            <w:tcW w:w="2708" w:type="dxa"/>
          </w:tcPr>
          <w:p w14:paraId="34A1446C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</w:t>
            </w:r>
          </w:p>
        </w:tc>
      </w:tr>
      <w:tr w:rsidR="00F531A4" w:rsidRPr="0027304E" w14:paraId="1A7A024A" w14:textId="77777777" w:rsidTr="00DA2362">
        <w:trPr>
          <w:trHeight w:val="313"/>
        </w:trPr>
        <w:tc>
          <w:tcPr>
            <w:tcW w:w="701" w:type="dxa"/>
          </w:tcPr>
          <w:p w14:paraId="601DC695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175" w:type="dxa"/>
            <w:vMerge/>
          </w:tcPr>
          <w:p w14:paraId="715839DD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83" w:type="dxa"/>
          </w:tcPr>
          <w:p w14:paraId="60B0B72A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实验室一、实验室二、实验室五</w:t>
            </w:r>
          </w:p>
        </w:tc>
        <w:tc>
          <w:tcPr>
            <w:tcW w:w="2242" w:type="dxa"/>
          </w:tcPr>
          <w:p w14:paraId="766FA50A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胚胎净化操作</w:t>
            </w:r>
          </w:p>
        </w:tc>
        <w:tc>
          <w:tcPr>
            <w:tcW w:w="2708" w:type="dxa"/>
          </w:tcPr>
          <w:p w14:paraId="341B6838" w14:textId="77777777" w:rsidR="00F531A4" w:rsidRPr="0027304E" w:rsidRDefault="00F531A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</w:t>
            </w:r>
          </w:p>
        </w:tc>
      </w:tr>
      <w:tr w:rsidR="000E4E2B" w:rsidRPr="0027304E" w14:paraId="10F7CACF" w14:textId="77777777" w:rsidTr="00DA2362">
        <w:trPr>
          <w:trHeight w:val="313"/>
        </w:trPr>
        <w:tc>
          <w:tcPr>
            <w:tcW w:w="701" w:type="dxa"/>
          </w:tcPr>
          <w:p w14:paraId="55B69178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175" w:type="dxa"/>
          </w:tcPr>
          <w:p w14:paraId="57F79876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Level-2</w:t>
            </w:r>
          </w:p>
        </w:tc>
        <w:tc>
          <w:tcPr>
            <w:tcW w:w="1783" w:type="dxa"/>
          </w:tcPr>
          <w:p w14:paraId="50A0C7F9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动物房四、五、实验室四</w:t>
            </w:r>
          </w:p>
        </w:tc>
        <w:tc>
          <w:tcPr>
            <w:tcW w:w="2242" w:type="dxa"/>
          </w:tcPr>
          <w:p w14:paraId="432484E2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净化后小鼠的保种饲养</w:t>
            </w:r>
          </w:p>
        </w:tc>
        <w:tc>
          <w:tcPr>
            <w:tcW w:w="2708" w:type="dxa"/>
          </w:tcPr>
          <w:p w14:paraId="6B0A9B61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</w:t>
            </w:r>
          </w:p>
        </w:tc>
      </w:tr>
      <w:tr w:rsidR="000E4E2B" w:rsidRPr="0027304E" w14:paraId="68840BF7" w14:textId="77777777" w:rsidTr="00DA2362">
        <w:trPr>
          <w:trHeight w:val="413"/>
        </w:trPr>
        <w:tc>
          <w:tcPr>
            <w:tcW w:w="701" w:type="dxa"/>
          </w:tcPr>
          <w:p w14:paraId="0D2C1057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175" w:type="dxa"/>
          </w:tcPr>
          <w:p w14:paraId="6E7B825D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Level-3</w:t>
            </w:r>
          </w:p>
        </w:tc>
        <w:tc>
          <w:tcPr>
            <w:tcW w:w="1783" w:type="dxa"/>
          </w:tcPr>
          <w:p w14:paraId="134522CC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动物房七、八</w:t>
            </w:r>
          </w:p>
        </w:tc>
        <w:tc>
          <w:tcPr>
            <w:tcW w:w="2242" w:type="dxa"/>
          </w:tcPr>
          <w:p w14:paraId="5E54AD12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净化后小鼠的繁殖、饲养</w:t>
            </w:r>
          </w:p>
        </w:tc>
        <w:tc>
          <w:tcPr>
            <w:tcW w:w="2708" w:type="dxa"/>
          </w:tcPr>
          <w:p w14:paraId="718077E2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实验动物中心指定工作人员、每个课题组</w:t>
            </w:r>
            <w:r w:rsidR="00E5621D"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1-</w:t>
            </w: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</w:t>
            </w:r>
            <w:r w:rsidR="00E5621D"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指定</w:t>
            </w:r>
            <w:r w:rsidR="00C514FF"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备案人员</w:t>
            </w:r>
          </w:p>
        </w:tc>
      </w:tr>
      <w:tr w:rsidR="00F531A4" w:rsidRPr="0027304E" w14:paraId="36C78847" w14:textId="77777777" w:rsidTr="00DA2362">
        <w:trPr>
          <w:trHeight w:val="626"/>
        </w:trPr>
        <w:tc>
          <w:tcPr>
            <w:tcW w:w="701" w:type="dxa"/>
          </w:tcPr>
          <w:p w14:paraId="2CCBEE1B" w14:textId="77777777" w:rsidR="00F531A4" w:rsidRPr="0027304E" w:rsidRDefault="000A5223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175" w:type="dxa"/>
          </w:tcPr>
          <w:p w14:paraId="267A4073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F531A4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  <w:tc>
          <w:tcPr>
            <w:tcW w:w="1783" w:type="dxa"/>
          </w:tcPr>
          <w:p w14:paraId="3B074FEC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动物隔离检疫室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（软包）</w:t>
            </w:r>
          </w:p>
        </w:tc>
        <w:tc>
          <w:tcPr>
            <w:tcW w:w="2242" w:type="dxa"/>
          </w:tcPr>
          <w:p w14:paraId="2291E9E7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从指定供应商购入小鼠的隔离检疫</w:t>
            </w:r>
          </w:p>
        </w:tc>
        <w:tc>
          <w:tcPr>
            <w:tcW w:w="2708" w:type="dxa"/>
          </w:tcPr>
          <w:p w14:paraId="52C6FC3D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实验动物中心工作工作人员</w:t>
            </w:r>
          </w:p>
        </w:tc>
      </w:tr>
      <w:tr w:rsidR="00501D54" w:rsidRPr="0027304E" w14:paraId="26DBE5B2" w14:textId="77777777" w:rsidTr="00DA2362">
        <w:trPr>
          <w:trHeight w:val="626"/>
        </w:trPr>
        <w:tc>
          <w:tcPr>
            <w:tcW w:w="701" w:type="dxa"/>
          </w:tcPr>
          <w:p w14:paraId="1FC3D6A6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175" w:type="dxa"/>
            <w:vMerge w:val="restart"/>
          </w:tcPr>
          <w:p w14:paraId="370E6364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  <w:p w14:paraId="3E07B8F0" w14:textId="77777777" w:rsidR="00501D54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  <w:p w14:paraId="494E9F36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F531A4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Level-4B</w:t>
            </w:r>
          </w:p>
          <w:p w14:paraId="683EB428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  <w:p w14:paraId="48923EB1" w14:textId="77777777" w:rsidR="00501D54" w:rsidRPr="0027304E" w:rsidRDefault="00501D54" w:rsidP="002D622D">
            <w:pPr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83" w:type="dxa"/>
          </w:tcPr>
          <w:p w14:paraId="2D7BF62D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动物房二、六、十一</w:t>
            </w:r>
          </w:p>
        </w:tc>
        <w:tc>
          <w:tcPr>
            <w:tcW w:w="2242" w:type="dxa"/>
          </w:tcPr>
          <w:p w14:paraId="079FE914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繁殖</w:t>
            </w:r>
            <w:proofErr w:type="gramStart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饲养区</w:t>
            </w:r>
            <w:proofErr w:type="gramEnd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转入小鼠或从指定供应商购入小鼠的饲养</w:t>
            </w:r>
          </w:p>
        </w:tc>
        <w:tc>
          <w:tcPr>
            <w:tcW w:w="2708" w:type="dxa"/>
          </w:tcPr>
          <w:p w14:paraId="1CBD57BE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实验动中心工作工作人员、课题组实验人员</w:t>
            </w:r>
          </w:p>
        </w:tc>
      </w:tr>
      <w:tr w:rsidR="00501D54" w:rsidRPr="0027304E" w14:paraId="7091C1BB" w14:textId="77777777" w:rsidTr="00DA2362">
        <w:trPr>
          <w:trHeight w:val="357"/>
        </w:trPr>
        <w:tc>
          <w:tcPr>
            <w:tcW w:w="701" w:type="dxa"/>
          </w:tcPr>
          <w:p w14:paraId="5D07B70D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175" w:type="dxa"/>
            <w:vMerge/>
          </w:tcPr>
          <w:p w14:paraId="0C066251" w14:textId="77777777" w:rsidR="00501D54" w:rsidRPr="0027304E" w:rsidRDefault="00501D54" w:rsidP="002D622D">
            <w:pPr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83" w:type="dxa"/>
          </w:tcPr>
          <w:p w14:paraId="6BF662D0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实验室三</w:t>
            </w:r>
          </w:p>
        </w:tc>
        <w:tc>
          <w:tcPr>
            <w:tcW w:w="2242" w:type="dxa"/>
          </w:tcPr>
          <w:p w14:paraId="6639B7E7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繁殖</w:t>
            </w:r>
            <w:proofErr w:type="gramStart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饲养区</w:t>
            </w:r>
            <w:proofErr w:type="gramEnd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转入小鼠或从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指定</w:t>
            </w: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供应商购入小鼠的实验操作</w:t>
            </w:r>
          </w:p>
        </w:tc>
        <w:tc>
          <w:tcPr>
            <w:tcW w:w="2708" w:type="dxa"/>
          </w:tcPr>
          <w:p w14:paraId="4F50F9F3" w14:textId="77777777" w:rsidR="00501D54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实验动物中心工作工作人员、课题组实验人员</w:t>
            </w:r>
          </w:p>
        </w:tc>
      </w:tr>
      <w:tr w:rsidR="00F531A4" w:rsidRPr="0027304E" w14:paraId="181F7B33" w14:textId="77777777" w:rsidTr="00DA2362">
        <w:trPr>
          <w:trHeight w:val="313"/>
        </w:trPr>
        <w:tc>
          <w:tcPr>
            <w:tcW w:w="701" w:type="dxa"/>
          </w:tcPr>
          <w:p w14:paraId="22C216B3" w14:textId="77777777" w:rsidR="00F531A4" w:rsidRPr="0027304E" w:rsidRDefault="000A5223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175" w:type="dxa"/>
          </w:tcPr>
          <w:p w14:paraId="0AED9CEF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C</w:t>
            </w:r>
          </w:p>
          <w:p w14:paraId="58AA3060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  <w:p w14:paraId="140EAB85" w14:textId="77777777" w:rsidR="00F531A4" w:rsidRPr="0027304E" w:rsidRDefault="00F531A4" w:rsidP="00F531A4">
            <w:pPr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83" w:type="dxa"/>
          </w:tcPr>
          <w:p w14:paraId="11D6BC3A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动物房十</w:t>
            </w:r>
            <w:proofErr w:type="gramEnd"/>
          </w:p>
        </w:tc>
        <w:tc>
          <w:tcPr>
            <w:tcW w:w="2242" w:type="dxa"/>
          </w:tcPr>
          <w:p w14:paraId="75FFA54E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大鼠的饲养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和实验</w:t>
            </w:r>
          </w:p>
        </w:tc>
        <w:tc>
          <w:tcPr>
            <w:tcW w:w="2708" w:type="dxa"/>
          </w:tcPr>
          <w:p w14:paraId="6B758FEE" w14:textId="77777777" w:rsidR="00F531A4" w:rsidRPr="0027304E" w:rsidRDefault="00F531A4" w:rsidP="00F531A4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实验动物中心工作工作人员、课题组实验人员</w:t>
            </w:r>
          </w:p>
        </w:tc>
      </w:tr>
      <w:tr w:rsidR="000E4E2B" w:rsidRPr="0027304E" w14:paraId="25BBD377" w14:textId="77777777" w:rsidTr="00DA2362">
        <w:trPr>
          <w:trHeight w:val="313"/>
        </w:trPr>
        <w:tc>
          <w:tcPr>
            <w:tcW w:w="701" w:type="dxa"/>
          </w:tcPr>
          <w:p w14:paraId="0AC61000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175" w:type="dxa"/>
          </w:tcPr>
          <w:p w14:paraId="6B607384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Level-5</w:t>
            </w:r>
          </w:p>
        </w:tc>
        <w:tc>
          <w:tcPr>
            <w:tcW w:w="1783" w:type="dxa"/>
          </w:tcPr>
          <w:p w14:paraId="6E3C6C89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动物房九</w:t>
            </w:r>
            <w:proofErr w:type="gramEnd"/>
          </w:p>
        </w:tc>
        <w:tc>
          <w:tcPr>
            <w:tcW w:w="2242" w:type="dxa"/>
          </w:tcPr>
          <w:p w14:paraId="1F1CBF07" w14:textId="77777777" w:rsidR="000E4E2B" w:rsidRPr="0027304E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7304E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感染或潜在感染小鼠的饲养</w:t>
            </w:r>
          </w:p>
        </w:tc>
        <w:tc>
          <w:tcPr>
            <w:tcW w:w="2708" w:type="dxa"/>
          </w:tcPr>
          <w:p w14:paraId="2CD941BE" w14:textId="77777777" w:rsidR="000E4E2B" w:rsidRPr="0027304E" w:rsidRDefault="00501D5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501D5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实验动物中心指定工作人员、课题组指定备案人员（＜</w:t>
            </w:r>
            <w:r w:rsidRPr="00501D5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  <w:r w:rsidRPr="00501D5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人</w:t>
            </w:r>
            <w:r w:rsidRPr="00501D5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/</w:t>
            </w:r>
            <w:r w:rsidRPr="00501D54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组）</w:t>
            </w:r>
          </w:p>
        </w:tc>
      </w:tr>
    </w:tbl>
    <w:p w14:paraId="31AC53F9" w14:textId="77777777" w:rsidR="008A375F" w:rsidRDefault="008A375F" w:rsidP="00864F04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</w:p>
    <w:p w14:paraId="3B1E45D5" w14:textId="77777777" w:rsidR="000E4E2B" w:rsidRPr="00864F04" w:rsidRDefault="000E4E2B" w:rsidP="00864F04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三、管理原则</w:t>
      </w:r>
    </w:p>
    <w:p w14:paraId="384EF9B6" w14:textId="77777777" w:rsidR="00BE7E76" w:rsidRPr="005A4497" w:rsidRDefault="009E5C12" w:rsidP="00864F04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5A4497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所有引入品系，需在</w:t>
      </w:r>
      <w:r w:rsidR="00BE7E76" w:rsidRPr="005A4497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动物中心</w:t>
      </w:r>
      <w:r w:rsidRPr="005A4497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内进行冻存保种，或声明已在其他地方有保种，如果品系丢失实验动物中心不承担责任。</w:t>
      </w:r>
    </w:p>
    <w:p w14:paraId="1369D612" w14:textId="71006C7D" w:rsidR="000E4E2B" w:rsidRDefault="000E4E2B" w:rsidP="00864F04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D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区运行将建立管理规则，并设置违规行为的处理措施。在动物</w:t>
      </w:r>
      <w:proofErr w:type="gramStart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中心笼位有限的</w:t>
      </w:r>
      <w:proofErr w:type="gramEnd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情况下，</w:t>
      </w:r>
      <w:proofErr w:type="gramStart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笼位</w:t>
      </w:r>
      <w:proofErr w:type="gramEnd"/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将优先分配给记录良好的实验室；在动物中心资源有限的情况下，胚胎移植等技术服务将优先考虑记录良好的实验室。对违规行为的处理措施根据违规行为的严重程度进行分级，分级规定详见表</w:t>
      </w:r>
      <w:r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2</w:t>
      </w:r>
      <w:r w:rsidR="00864F04" w:rsidRPr="00864F04">
        <w:rPr>
          <w:rFonts w:ascii="Times New Roman" w:eastAsia="仿宋" w:hAnsi="Times New Roman" w:hint="eastAsia"/>
          <w:color w:val="000000"/>
          <w:kern w:val="0"/>
          <w:sz w:val="24"/>
          <w:szCs w:val="24"/>
        </w:rPr>
        <w:t>。</w:t>
      </w:r>
    </w:p>
    <w:p w14:paraId="5E463446" w14:textId="77777777" w:rsidR="008A375F" w:rsidRDefault="008A375F">
      <w:pPr>
        <w:widowControl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/>
          <w:color w:val="000000"/>
          <w:kern w:val="0"/>
          <w:sz w:val="24"/>
          <w:szCs w:val="24"/>
        </w:rPr>
        <w:br w:type="page"/>
      </w:r>
    </w:p>
    <w:p w14:paraId="46504310" w14:textId="77777777" w:rsidR="008A375F" w:rsidRPr="00864F04" w:rsidRDefault="008A375F" w:rsidP="00864F04">
      <w:pPr>
        <w:widowControl/>
        <w:spacing w:line="360" w:lineRule="auto"/>
        <w:ind w:firstLineChars="200" w:firstLine="480"/>
        <w:jc w:val="left"/>
        <w:rPr>
          <w:rFonts w:ascii="Times New Roman" w:eastAsia="仿宋" w:hAnsi="Times New Roman"/>
          <w:color w:val="000000"/>
          <w:kern w:val="0"/>
          <w:sz w:val="24"/>
          <w:szCs w:val="24"/>
        </w:rPr>
      </w:pPr>
    </w:p>
    <w:p w14:paraId="10298A4B" w14:textId="77777777" w:rsidR="000E4E2B" w:rsidRDefault="000E4E2B">
      <w:pPr>
        <w:widowControl/>
        <w:ind w:firstLineChars="200" w:firstLine="482"/>
        <w:jc w:val="center"/>
        <w:rPr>
          <w:rFonts w:ascii="Times New Roman" w:eastAsia="仿宋" w:hAnsi="Times New Roman"/>
          <w:b/>
          <w:color w:val="000000"/>
          <w:kern w:val="0"/>
          <w:sz w:val="24"/>
          <w:szCs w:val="32"/>
        </w:rPr>
      </w:pPr>
      <w:bookmarkStart w:id="4" w:name="_Hlk54786859"/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表</w:t>
      </w:r>
      <w:r>
        <w:rPr>
          <w:rFonts w:ascii="Times New Roman" w:eastAsia="仿宋" w:hAnsi="Times New Roman"/>
          <w:b/>
          <w:color w:val="000000"/>
          <w:kern w:val="0"/>
          <w:sz w:val="24"/>
          <w:szCs w:val="32"/>
        </w:rPr>
        <w:t>2</w:t>
      </w: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 xml:space="preserve">   </w:t>
      </w: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违规行为处理措施分级表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751"/>
        <w:gridCol w:w="6733"/>
      </w:tblGrid>
      <w:tr w:rsidR="000E4E2B" w14:paraId="189AAE28" w14:textId="77777777">
        <w:trPr>
          <w:trHeight w:val="302"/>
        </w:trPr>
        <w:tc>
          <w:tcPr>
            <w:tcW w:w="1101" w:type="dxa"/>
          </w:tcPr>
          <w:bookmarkEnd w:id="4"/>
          <w:p w14:paraId="24AB0BAE" w14:textId="77777777" w:rsidR="000E4E2B" w:rsidRPr="00357CB3" w:rsidRDefault="000E4E2B" w:rsidP="00357CB3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357CB3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992" w:type="dxa"/>
          </w:tcPr>
          <w:p w14:paraId="50EBE109" w14:textId="77777777" w:rsidR="000E4E2B" w:rsidRPr="00357CB3" w:rsidRDefault="000E4E2B" w:rsidP="00357CB3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357CB3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等级</w:t>
            </w:r>
          </w:p>
        </w:tc>
        <w:tc>
          <w:tcPr>
            <w:tcW w:w="11405" w:type="dxa"/>
          </w:tcPr>
          <w:p w14:paraId="0424F369" w14:textId="77777777" w:rsidR="000E4E2B" w:rsidRPr="00357CB3" w:rsidRDefault="000E4E2B" w:rsidP="00357CB3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357CB3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处理措施</w:t>
            </w:r>
          </w:p>
        </w:tc>
      </w:tr>
      <w:tr w:rsidR="000E4E2B" w14:paraId="147E5A50" w14:textId="77777777">
        <w:trPr>
          <w:trHeight w:val="238"/>
        </w:trPr>
        <w:tc>
          <w:tcPr>
            <w:tcW w:w="1101" w:type="dxa"/>
          </w:tcPr>
          <w:p w14:paraId="0117F20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992" w:type="dxa"/>
          </w:tcPr>
          <w:p w14:paraId="0EAD951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一级</w:t>
            </w:r>
          </w:p>
        </w:tc>
        <w:tc>
          <w:tcPr>
            <w:tcW w:w="11405" w:type="dxa"/>
          </w:tcPr>
          <w:p w14:paraId="343C9DC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动物中心邮件告知违规者本人，抄送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I</w:t>
            </w:r>
          </w:p>
        </w:tc>
      </w:tr>
      <w:tr w:rsidR="000E4E2B" w14:paraId="68230A78" w14:textId="77777777">
        <w:trPr>
          <w:trHeight w:val="343"/>
        </w:trPr>
        <w:tc>
          <w:tcPr>
            <w:tcW w:w="1101" w:type="dxa"/>
          </w:tcPr>
          <w:p w14:paraId="4E5B7DE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992" w:type="dxa"/>
          </w:tcPr>
          <w:p w14:paraId="26FABA8A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二级</w:t>
            </w:r>
          </w:p>
        </w:tc>
        <w:tc>
          <w:tcPr>
            <w:tcW w:w="11405" w:type="dxa"/>
          </w:tcPr>
          <w:p w14:paraId="7BD2FC39" w14:textId="77777777" w:rsidR="000E4E2B" w:rsidRPr="002D622D" w:rsidRDefault="00E5621D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动物中心邮件告知违规者本人，抄送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暂停违规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</w:t>
            </w:r>
            <w:proofErr w:type="gramEnd"/>
          </w:p>
        </w:tc>
      </w:tr>
      <w:tr w:rsidR="000E4E2B" w14:paraId="23D26ADF" w14:textId="77777777">
        <w:trPr>
          <w:trHeight w:val="288"/>
        </w:trPr>
        <w:tc>
          <w:tcPr>
            <w:tcW w:w="1101" w:type="dxa"/>
          </w:tcPr>
          <w:p w14:paraId="23558FD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992" w:type="dxa"/>
          </w:tcPr>
          <w:p w14:paraId="247CC4D6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三级</w:t>
            </w:r>
          </w:p>
        </w:tc>
        <w:tc>
          <w:tcPr>
            <w:tcW w:w="11405" w:type="dxa"/>
          </w:tcPr>
          <w:p w14:paraId="61981E61" w14:textId="77777777" w:rsidR="000E4E2B" w:rsidRPr="002D622D" w:rsidRDefault="00E5621D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动物中心邮件告知违规者本人，抄送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暂停违规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</w:t>
            </w:r>
            <w:proofErr w:type="gramEnd"/>
          </w:p>
        </w:tc>
      </w:tr>
      <w:tr w:rsidR="000E4E2B" w14:paraId="34446F72" w14:textId="77777777">
        <w:trPr>
          <w:trHeight w:val="393"/>
        </w:trPr>
        <w:tc>
          <w:tcPr>
            <w:tcW w:w="1101" w:type="dxa"/>
          </w:tcPr>
          <w:p w14:paraId="5A5ABB9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14:paraId="65DC3E4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四级</w:t>
            </w:r>
          </w:p>
        </w:tc>
        <w:tc>
          <w:tcPr>
            <w:tcW w:w="11405" w:type="dxa"/>
          </w:tcPr>
          <w:p w14:paraId="4D4D9470" w14:textId="77777777" w:rsidR="000E4E2B" w:rsidRPr="002D622D" w:rsidRDefault="00E5621D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动物中心邮件告知违规者本人，抄送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暂停违规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</w:t>
            </w:r>
            <w:proofErr w:type="gramEnd"/>
          </w:p>
        </w:tc>
      </w:tr>
      <w:tr w:rsidR="000E4E2B" w14:paraId="229070D3" w14:textId="77777777">
        <w:trPr>
          <w:trHeight w:val="332"/>
        </w:trPr>
        <w:tc>
          <w:tcPr>
            <w:tcW w:w="1101" w:type="dxa"/>
          </w:tcPr>
          <w:p w14:paraId="40742B53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992" w:type="dxa"/>
          </w:tcPr>
          <w:p w14:paraId="43AEF0D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五级</w:t>
            </w:r>
          </w:p>
        </w:tc>
        <w:tc>
          <w:tcPr>
            <w:tcW w:w="11405" w:type="dxa"/>
          </w:tcPr>
          <w:p w14:paraId="295AFC5E" w14:textId="77777777" w:rsidR="000E4E2B" w:rsidRPr="002D622D" w:rsidRDefault="00E5621D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动物中心邮件告知违规者本人，抄送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实验动物降级处理</w:t>
            </w:r>
          </w:p>
        </w:tc>
      </w:tr>
      <w:tr w:rsidR="000E4E2B" w14:paraId="54AEF944" w14:textId="77777777">
        <w:trPr>
          <w:trHeight w:val="393"/>
        </w:trPr>
        <w:tc>
          <w:tcPr>
            <w:tcW w:w="1101" w:type="dxa"/>
          </w:tcPr>
          <w:p w14:paraId="1A451DDB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992" w:type="dxa"/>
          </w:tcPr>
          <w:p w14:paraId="68970DCF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其他</w:t>
            </w:r>
          </w:p>
        </w:tc>
        <w:tc>
          <w:tcPr>
            <w:tcW w:w="11405" w:type="dxa"/>
          </w:tcPr>
          <w:p w14:paraId="05F9A15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造成实验动物感染，所有相关实验动物的检测费、胚胎净化费用、污染房间饲养费等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污染的课题组承担。</w:t>
            </w:r>
          </w:p>
        </w:tc>
      </w:tr>
    </w:tbl>
    <w:p w14:paraId="579D992B" w14:textId="77777777" w:rsidR="008A375F" w:rsidRDefault="008A375F" w:rsidP="002D622D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</w:p>
    <w:p w14:paraId="5409DCF0" w14:textId="77777777" w:rsidR="000E4E2B" w:rsidRDefault="000E4E2B" w:rsidP="002D622D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  <w:r w:rsidRPr="002D622D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四、</w:t>
      </w:r>
      <w:bookmarkStart w:id="5" w:name="_Hlk54786875"/>
      <w:r w:rsidRPr="002D622D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管理规定和处理措施</w:t>
      </w:r>
      <w:bookmarkEnd w:id="5"/>
      <w:r w:rsidR="00DA2362">
        <w:rPr>
          <w:rFonts w:ascii="Times New Roman" w:eastAsia="仿宋" w:hAnsi="Times New Roman" w:hint="eastAsia"/>
          <w:b/>
          <w:color w:val="000000"/>
          <w:kern w:val="0"/>
          <w:sz w:val="24"/>
          <w:szCs w:val="24"/>
        </w:rPr>
        <w:t>（详见下表）</w:t>
      </w:r>
    </w:p>
    <w:p w14:paraId="196DC69F" w14:textId="77777777" w:rsidR="008A375F" w:rsidRPr="002D622D" w:rsidRDefault="008A375F" w:rsidP="002D622D">
      <w:pPr>
        <w:widowControl/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color w:val="000000"/>
          <w:kern w:val="0"/>
          <w:sz w:val="24"/>
          <w:szCs w:val="24"/>
        </w:rPr>
      </w:pPr>
    </w:p>
    <w:p w14:paraId="236976AA" w14:textId="77777777" w:rsidR="000E4E2B" w:rsidRDefault="000E4E2B" w:rsidP="00AD5326">
      <w:pPr>
        <w:widowControl/>
        <w:jc w:val="center"/>
        <w:rPr>
          <w:rFonts w:ascii="Times New Roman" w:eastAsia="仿宋" w:hAnsi="Times New Roman"/>
          <w:b/>
          <w:color w:val="000000"/>
          <w:kern w:val="0"/>
          <w:sz w:val="24"/>
          <w:szCs w:val="32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表</w:t>
      </w:r>
      <w:r>
        <w:rPr>
          <w:rFonts w:ascii="Times New Roman" w:eastAsia="仿宋" w:hAnsi="Times New Roman"/>
          <w:b/>
          <w:color w:val="000000"/>
          <w:kern w:val="0"/>
          <w:sz w:val="24"/>
          <w:szCs w:val="32"/>
        </w:rPr>
        <w:t>3</w:t>
      </w: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 xml:space="preserve">   </w:t>
      </w:r>
      <w:r>
        <w:rPr>
          <w:rFonts w:ascii="Times New Roman" w:eastAsia="仿宋" w:hAnsi="Times New Roman" w:hint="eastAsia"/>
          <w:b/>
          <w:color w:val="000000"/>
          <w:kern w:val="0"/>
          <w:sz w:val="24"/>
          <w:szCs w:val="32"/>
        </w:rPr>
        <w:t>管理规定和处理措施</w:t>
      </w:r>
    </w:p>
    <w:tbl>
      <w:tblPr>
        <w:tblW w:w="90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714"/>
        <w:gridCol w:w="4736"/>
      </w:tblGrid>
      <w:tr w:rsidR="000E4E2B" w14:paraId="57EC7EB1" w14:textId="77777777" w:rsidTr="00E56BC1">
        <w:trPr>
          <w:trHeight w:val="532"/>
        </w:trPr>
        <w:tc>
          <w:tcPr>
            <w:tcW w:w="9015" w:type="dxa"/>
            <w:gridSpan w:val="3"/>
            <w:noWrap/>
          </w:tcPr>
          <w:p w14:paraId="1FFA1461" w14:textId="77777777" w:rsidR="000E4E2B" w:rsidRPr="002D622D" w:rsidRDefault="000E4E2B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通</w:t>
            </w:r>
            <w:r w:rsid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="002D622D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用</w:t>
            </w:r>
          </w:p>
        </w:tc>
      </w:tr>
      <w:tr w:rsidR="000E4E2B" w:rsidRPr="002D622D" w14:paraId="779C4E36" w14:textId="77777777" w:rsidTr="00E56BC1">
        <w:trPr>
          <w:trHeight w:val="285"/>
        </w:trPr>
        <w:tc>
          <w:tcPr>
            <w:tcW w:w="565" w:type="dxa"/>
            <w:noWrap/>
          </w:tcPr>
          <w:p w14:paraId="26C521A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714" w:type="dxa"/>
            <w:noWrap/>
          </w:tcPr>
          <w:p w14:paraId="73A88C8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  <w:t>管理规定</w:t>
            </w:r>
          </w:p>
        </w:tc>
        <w:tc>
          <w:tcPr>
            <w:tcW w:w="4735" w:type="dxa"/>
            <w:noWrap/>
          </w:tcPr>
          <w:p w14:paraId="242341B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处理措施</w:t>
            </w:r>
          </w:p>
        </w:tc>
      </w:tr>
      <w:tr w:rsidR="000E4E2B" w:rsidRPr="002D622D" w14:paraId="012427E3" w14:textId="77777777" w:rsidTr="00E56BC1">
        <w:trPr>
          <w:trHeight w:val="748"/>
        </w:trPr>
        <w:tc>
          <w:tcPr>
            <w:tcW w:w="565" w:type="dxa"/>
            <w:noWrap/>
          </w:tcPr>
          <w:p w14:paraId="427153D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3714" w:type="dxa"/>
          </w:tcPr>
          <w:p w14:paraId="10A96FD7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笼位申请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：课题组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根据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ACUC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审批通过的实验方案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提前申请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笼位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，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申请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笼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位数量不能超过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I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ACUC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批准的数量。严禁占用不属于本课题组的笼位。</w:t>
            </w:r>
          </w:p>
        </w:tc>
        <w:tc>
          <w:tcPr>
            <w:tcW w:w="4735" w:type="dxa"/>
          </w:tcPr>
          <w:p w14:paraId="4F3448B2" w14:textId="77777777" w:rsidR="00864F04" w:rsidRPr="002D622D" w:rsidRDefault="00864F04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占用笼位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3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盒</w:t>
            </w:r>
            <w:proofErr w:type="gramEnd"/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（含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3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盒）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以下：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年。违规五次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  <w:p w14:paraId="23D5BA58" w14:textId="77777777" w:rsidR="00C62645" w:rsidRPr="002D622D" w:rsidRDefault="00C62645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占用笼位</w:t>
            </w:r>
            <w:proofErr w:type="gramEnd"/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4</w:t>
            </w:r>
            <w:r w:rsidR="00315586"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-10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盒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（含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10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盒）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以下：违规一次，动物中心将邮件告知违规者并抄送所在实验室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三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年。违规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四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次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  <w:p w14:paraId="595A881A" w14:textId="77777777" w:rsidR="000E4E2B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占用笼位超过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10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盒：动物可被实验动物中心降级处理。</w:t>
            </w:r>
          </w:p>
        </w:tc>
      </w:tr>
      <w:tr w:rsidR="000E4E2B" w:rsidRPr="002D622D" w14:paraId="37054776" w14:textId="77777777" w:rsidTr="00E56BC1">
        <w:trPr>
          <w:trHeight w:val="944"/>
        </w:trPr>
        <w:tc>
          <w:tcPr>
            <w:tcW w:w="565" w:type="dxa"/>
            <w:noWrap/>
          </w:tcPr>
          <w:p w14:paraId="631AEC2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714" w:type="dxa"/>
          </w:tcPr>
          <w:p w14:paraId="1AE2995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人员培训：所有进入动物设施的人员必须获得《实验动物从业人员上岗证》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，并经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动物中心工作人员培训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后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登记备案并开通门禁后方能进入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，严禁无权限人员进入。</w:t>
            </w:r>
          </w:p>
        </w:tc>
        <w:tc>
          <w:tcPr>
            <w:tcW w:w="4735" w:type="dxa"/>
          </w:tcPr>
          <w:p w14:paraId="0220951E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若有违规，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动物中心将邮件告知违规者所在实验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，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违规者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个月内不能申请进入动物设施的权限。</w:t>
            </w:r>
          </w:p>
        </w:tc>
      </w:tr>
      <w:tr w:rsidR="000E4E2B" w:rsidRPr="002D622D" w14:paraId="6CC438D5" w14:textId="77777777" w:rsidTr="00E56BC1">
        <w:trPr>
          <w:trHeight w:val="617"/>
        </w:trPr>
        <w:tc>
          <w:tcPr>
            <w:tcW w:w="565" w:type="dxa"/>
            <w:noWrap/>
          </w:tcPr>
          <w:p w14:paraId="6093501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3714" w:type="dxa"/>
          </w:tcPr>
          <w:p w14:paraId="0E7535A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每个实验人员只允许获得一个区域的进出权，严禁借用别人的卡进入非授权的工作范围。</w:t>
            </w:r>
          </w:p>
        </w:tc>
        <w:tc>
          <w:tcPr>
            <w:tcW w:w="4735" w:type="dxa"/>
          </w:tcPr>
          <w:p w14:paraId="4197848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暂停门卡持有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人和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借卡人门卡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月；违规二次，暂停违规者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年。违规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三次及以上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773A0AC1" w14:textId="77777777" w:rsidTr="00E56BC1">
        <w:trPr>
          <w:trHeight w:val="716"/>
        </w:trPr>
        <w:tc>
          <w:tcPr>
            <w:tcW w:w="565" w:type="dxa"/>
            <w:noWrap/>
          </w:tcPr>
          <w:p w14:paraId="3EC54501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714" w:type="dxa"/>
          </w:tcPr>
          <w:p w14:paraId="30F51A7F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饲养规定：成年小鼠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每笼不超过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5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只；繁殖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笼每笼不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超过一胎饲养；小鼠出生后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21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天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须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分笼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46063987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收到邮件提醒后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3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天内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不分笼且不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及时说明的，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动物中心将邮件告知所在实验室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。违规一次，暂停违规者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周；违规二次，暂停违规者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年；违规四次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  <w:p w14:paraId="77D9BD2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lastRenderedPageBreak/>
              <w:t>如果动物饲养数量严重违反动物福利，实验动物中心有权进行处置。</w:t>
            </w:r>
          </w:p>
        </w:tc>
      </w:tr>
      <w:tr w:rsidR="000E4E2B" w:rsidRPr="002D622D" w14:paraId="160E1544" w14:textId="77777777" w:rsidTr="00E56BC1">
        <w:trPr>
          <w:trHeight w:val="685"/>
        </w:trPr>
        <w:tc>
          <w:tcPr>
            <w:tcW w:w="565" w:type="dxa"/>
            <w:noWrap/>
          </w:tcPr>
          <w:p w14:paraId="08BB97E9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lastRenderedPageBreak/>
              <w:t>5</w:t>
            </w:r>
          </w:p>
        </w:tc>
        <w:tc>
          <w:tcPr>
            <w:tcW w:w="3714" w:type="dxa"/>
          </w:tcPr>
          <w:p w14:paraId="1FBF7A9F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实验人员进入动物房必须按标准做好个人防护（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手部消毒，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依次穿戴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好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无菌服，口罩、手套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再次手部消毒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），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并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及时登记相关记录表，字迹工整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  <w:p w14:paraId="0FCFE95A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严禁在设施内脱掉手套、口罩等防护装置。</w:t>
            </w:r>
          </w:p>
        </w:tc>
        <w:tc>
          <w:tcPr>
            <w:tcW w:w="4735" w:type="dxa"/>
          </w:tcPr>
          <w:p w14:paraId="3637CF07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五次及以上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6EBF3069" w14:textId="77777777" w:rsidTr="00E56BC1">
        <w:trPr>
          <w:trHeight w:val="709"/>
        </w:trPr>
        <w:tc>
          <w:tcPr>
            <w:tcW w:w="565" w:type="dxa"/>
            <w:noWrap/>
          </w:tcPr>
          <w:p w14:paraId="35527D63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3714" w:type="dxa"/>
          </w:tcPr>
          <w:p w14:paraId="38A114D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各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课题组笼位按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划定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笼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架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区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域放置，严禁擅自移动哨兵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鼠固定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笼位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16A90F5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年；违规五次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15B67612" w14:textId="77777777" w:rsidTr="00E56BC1">
        <w:trPr>
          <w:trHeight w:val="470"/>
        </w:trPr>
        <w:tc>
          <w:tcPr>
            <w:tcW w:w="565" w:type="dxa"/>
            <w:noWrap/>
          </w:tcPr>
          <w:p w14:paraId="37B10CE1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3714" w:type="dxa"/>
          </w:tcPr>
          <w:p w14:paraId="1E47DA66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禁止将动物置于饲养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室笼架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以外的地方饲养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4592398B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年；违规五次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5B055428" w14:textId="77777777" w:rsidTr="00E56BC1">
        <w:trPr>
          <w:trHeight w:val="672"/>
        </w:trPr>
        <w:tc>
          <w:tcPr>
            <w:tcW w:w="565" w:type="dxa"/>
            <w:noWrap/>
          </w:tcPr>
          <w:p w14:paraId="13DC4B96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3714" w:type="dxa"/>
          </w:tcPr>
          <w:p w14:paraId="054C7211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动物标签必须书写规范、完整，应注明研究组、使用人、品系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、出生日期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等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详细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信息，严禁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一笼使用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多个标签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60C0AEF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年；违规五次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373116D7" w14:textId="77777777" w:rsidTr="00E56BC1">
        <w:trPr>
          <w:trHeight w:val="556"/>
        </w:trPr>
        <w:tc>
          <w:tcPr>
            <w:tcW w:w="565" w:type="dxa"/>
            <w:noWrap/>
          </w:tcPr>
          <w:p w14:paraId="767A6A3B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3714" w:type="dxa"/>
          </w:tcPr>
          <w:p w14:paraId="514A424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实验结束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后动物</w:t>
            </w:r>
            <w:proofErr w:type="gramEnd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必须及时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放回笼架或将动物带离饲养室进行后续处置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，禁止留置于饲养室地面或其他地方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28DCBC50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年；违规五次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41B54BE1" w14:textId="77777777" w:rsidTr="00E56BC1">
        <w:trPr>
          <w:trHeight w:val="629"/>
        </w:trPr>
        <w:tc>
          <w:tcPr>
            <w:tcW w:w="565" w:type="dxa"/>
            <w:noWrap/>
          </w:tcPr>
          <w:p w14:paraId="7145FE69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3714" w:type="dxa"/>
          </w:tcPr>
          <w:p w14:paraId="253DE6DA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自觉维护公用实验室的仪器与卫生，实验结束后需认真清理台面，严禁私自拿走公共实验仪器设备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与物品。</w:t>
            </w:r>
          </w:p>
        </w:tc>
        <w:tc>
          <w:tcPr>
            <w:tcW w:w="4735" w:type="dxa"/>
          </w:tcPr>
          <w:p w14:paraId="52CDF177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个月；违规四次，暂停违规者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年；违规五次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62471A40" w14:textId="77777777" w:rsidTr="00E56BC1">
        <w:trPr>
          <w:trHeight w:val="629"/>
        </w:trPr>
        <w:tc>
          <w:tcPr>
            <w:tcW w:w="565" w:type="dxa"/>
            <w:noWrap/>
          </w:tcPr>
          <w:p w14:paraId="632CD4E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3714" w:type="dxa"/>
          </w:tcPr>
          <w:p w14:paraId="49F147F0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可高压的物品一律交由中心工作人员高压灭菌后传入；不能高压的物品交由中心工作人员通过传递窗或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缓冲间经紫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外或喷雾消毒传入；严禁私自随身携带任何物品进入动物房。</w:t>
            </w:r>
          </w:p>
        </w:tc>
        <w:tc>
          <w:tcPr>
            <w:tcW w:w="4735" w:type="dxa"/>
          </w:tcPr>
          <w:p w14:paraId="486192B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年。违规四次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11B6E1EE" w14:textId="77777777" w:rsidTr="00E56BC1">
        <w:trPr>
          <w:trHeight w:val="629"/>
        </w:trPr>
        <w:tc>
          <w:tcPr>
            <w:tcW w:w="565" w:type="dxa"/>
            <w:noWrap/>
          </w:tcPr>
          <w:p w14:paraId="5CC6EEE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714" w:type="dxa"/>
          </w:tcPr>
          <w:p w14:paraId="56C8E69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实验人员在进入动物设施前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72h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不能接触其他设施或区域的实验动物。</w:t>
            </w:r>
          </w:p>
        </w:tc>
        <w:tc>
          <w:tcPr>
            <w:tcW w:w="4735" w:type="dxa"/>
          </w:tcPr>
          <w:p w14:paraId="74432FA8" w14:textId="77777777" w:rsidR="00C514FF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未造成动物感染：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周；违规两次，暂停违规者</w:t>
            </w:r>
            <w:proofErr w:type="gramStart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个月；违规三次，暂停违规者</w:t>
            </w:r>
            <w:proofErr w:type="gramStart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年。违规四次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="00C514FF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  <w:p w14:paraId="50882316" w14:textId="77777777" w:rsidR="000E4E2B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造成动物感染：动物中心将邮件告知违规者并抄送所在实验室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</w:t>
            </w:r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所有相关动物降级处理，由此产生的检测费、污染房间饲养费、胚胎移植费</w:t>
            </w:r>
            <w:proofErr w:type="gramStart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="000E4E2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事故课题组承担。</w:t>
            </w:r>
          </w:p>
        </w:tc>
      </w:tr>
      <w:tr w:rsidR="000E4E2B" w:rsidRPr="002D622D" w14:paraId="695180AF" w14:textId="77777777" w:rsidTr="00E56BC1">
        <w:trPr>
          <w:trHeight w:val="629"/>
        </w:trPr>
        <w:tc>
          <w:tcPr>
            <w:tcW w:w="565" w:type="dxa"/>
            <w:noWrap/>
          </w:tcPr>
          <w:p w14:paraId="3006204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lastRenderedPageBreak/>
              <w:t>1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3714" w:type="dxa"/>
          </w:tcPr>
          <w:p w14:paraId="761051A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禁止将低等级房间的动物或物品转移至高等级房间。</w:t>
            </w:r>
          </w:p>
        </w:tc>
        <w:tc>
          <w:tcPr>
            <w:tcW w:w="4735" w:type="dxa"/>
          </w:tcPr>
          <w:p w14:paraId="6B1A418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若有违规，暂停违规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；如造成动物感染，所有相关动物降级处理，由此产生的检测费、污染房间饲养费、胚胎移植费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事故课题组承担。</w:t>
            </w:r>
          </w:p>
        </w:tc>
      </w:tr>
      <w:tr w:rsidR="000E4E2B" w:rsidRPr="002D622D" w14:paraId="696B7893" w14:textId="77777777" w:rsidTr="00E56BC1">
        <w:trPr>
          <w:trHeight w:val="464"/>
        </w:trPr>
        <w:tc>
          <w:tcPr>
            <w:tcW w:w="565" w:type="dxa"/>
            <w:noWrap/>
          </w:tcPr>
          <w:p w14:paraId="76C297E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714" w:type="dxa"/>
          </w:tcPr>
          <w:p w14:paraId="224A936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禁止私自将未批准的实验动物带入设施。</w:t>
            </w:r>
          </w:p>
        </w:tc>
        <w:tc>
          <w:tcPr>
            <w:tcW w:w="4735" w:type="dxa"/>
          </w:tcPr>
          <w:p w14:paraId="22065EB1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若有违规，暂停违规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；如造成动物感染，所有相关动物降级处理，由此产生的检测费、污染房间饲养费、胚胎移植费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事故课题组承担。</w:t>
            </w:r>
          </w:p>
        </w:tc>
      </w:tr>
      <w:tr w:rsidR="000E4E2B" w:rsidRPr="002D622D" w14:paraId="7ADD084C" w14:textId="77777777" w:rsidTr="00E56BC1">
        <w:trPr>
          <w:trHeight w:val="629"/>
        </w:trPr>
        <w:tc>
          <w:tcPr>
            <w:tcW w:w="565" w:type="dxa"/>
            <w:noWrap/>
          </w:tcPr>
          <w:p w14:paraId="5AFD9C28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3714" w:type="dxa"/>
          </w:tcPr>
          <w:p w14:paraId="4E5C94EE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若检测发现实验动物携带设施内规定必须排除的病原体时，实验动物所属课题组须配合中心采取措施。</w:t>
            </w:r>
          </w:p>
        </w:tc>
        <w:tc>
          <w:tcPr>
            <w:tcW w:w="4735" w:type="dxa"/>
          </w:tcPr>
          <w:p w14:paraId="50CA459A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感染或潜在感染实验动物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转移至污染区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污染区饲养费用加倍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0E4E2B" w:rsidRPr="002D622D" w14:paraId="26F4718D" w14:textId="77777777" w:rsidTr="00E56BC1">
        <w:trPr>
          <w:trHeight w:val="629"/>
        </w:trPr>
        <w:tc>
          <w:tcPr>
            <w:tcW w:w="565" w:type="dxa"/>
            <w:noWrap/>
          </w:tcPr>
          <w:p w14:paraId="0C94464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3714" w:type="dxa"/>
          </w:tcPr>
          <w:p w14:paraId="2F5885E1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按照实验方案，对实验动物实施安乐死。</w:t>
            </w:r>
          </w:p>
        </w:tc>
        <w:tc>
          <w:tcPr>
            <w:tcW w:w="4735" w:type="dxa"/>
          </w:tcPr>
          <w:p w14:paraId="7214E72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年；违规四次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29A490ED" w14:textId="77777777" w:rsidTr="00E56BC1">
        <w:trPr>
          <w:trHeight w:val="375"/>
        </w:trPr>
        <w:tc>
          <w:tcPr>
            <w:tcW w:w="9015" w:type="dxa"/>
            <w:gridSpan w:val="3"/>
            <w:noWrap/>
          </w:tcPr>
          <w:p w14:paraId="0AB4F27C" w14:textId="77777777" w:rsidR="008A375F" w:rsidRDefault="008A375F" w:rsidP="002D622D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</w:p>
          <w:p w14:paraId="5AC744BB" w14:textId="77777777" w:rsidR="008A375F" w:rsidRPr="008A375F" w:rsidRDefault="000E4E2B" w:rsidP="008A375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净化后小鼠繁殖饲养区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（</w:t>
            </w:r>
            <w:r w:rsidR="00315586" w:rsidRPr="002D622D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  <w:t xml:space="preserve">level 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3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区域）</w:t>
            </w:r>
          </w:p>
        </w:tc>
      </w:tr>
      <w:tr w:rsidR="000E4E2B" w:rsidRPr="002D622D" w14:paraId="4705A553" w14:textId="77777777" w:rsidTr="00E56BC1">
        <w:trPr>
          <w:trHeight w:val="548"/>
        </w:trPr>
        <w:tc>
          <w:tcPr>
            <w:tcW w:w="565" w:type="dxa"/>
            <w:noWrap/>
          </w:tcPr>
          <w:p w14:paraId="2958A98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3714" w:type="dxa"/>
          </w:tcPr>
          <w:p w14:paraId="496C097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净化后小鼠繁殖饲养区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，每个课题组只允许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2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人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备案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进入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50B4E6C3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若有违规，暂停违规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；如造成动物感染，所有相关动物降级处理，由此产生的检测费、污染房间饲养费、胚胎移植费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事故课题组承担。</w:t>
            </w:r>
          </w:p>
        </w:tc>
      </w:tr>
      <w:tr w:rsidR="000E4E2B" w:rsidRPr="002D622D" w14:paraId="3746A7A2" w14:textId="77777777" w:rsidTr="00E56BC1">
        <w:trPr>
          <w:trHeight w:val="814"/>
        </w:trPr>
        <w:tc>
          <w:tcPr>
            <w:tcW w:w="565" w:type="dxa"/>
            <w:noWrap/>
          </w:tcPr>
          <w:p w14:paraId="3EA43CDD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3714" w:type="dxa"/>
          </w:tcPr>
          <w:p w14:paraId="3DBFD0B6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经鉴定符合要求的鼠在转入小鼠实验饲养区时，必须由动物中心工作人员完成。严禁私自转移。</w:t>
            </w:r>
          </w:p>
        </w:tc>
        <w:tc>
          <w:tcPr>
            <w:tcW w:w="4735" w:type="dxa"/>
          </w:tcPr>
          <w:p w14:paraId="02B6BB93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三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503A6735" w14:textId="77777777" w:rsidTr="00E56BC1">
        <w:trPr>
          <w:trHeight w:val="418"/>
        </w:trPr>
        <w:tc>
          <w:tcPr>
            <w:tcW w:w="9015" w:type="dxa"/>
            <w:gridSpan w:val="3"/>
            <w:noWrap/>
          </w:tcPr>
          <w:p w14:paraId="2C99B24B" w14:textId="77777777" w:rsidR="008A375F" w:rsidRDefault="008A375F" w:rsidP="002D622D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</w:p>
          <w:p w14:paraId="1F59B9D2" w14:textId="77777777" w:rsidR="000E4E2B" w:rsidRPr="002D622D" w:rsidRDefault="000E4E2B" w:rsidP="002D622D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小鼠实验饲养区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（</w:t>
            </w:r>
            <w:r w:rsidR="00315586" w:rsidRPr="002D622D"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4"/>
              </w:rPr>
              <w:t xml:space="preserve">level 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4</w:t>
            </w:r>
            <w:r w:rsidR="00315586" w:rsidRPr="002D622D"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4"/>
              </w:rPr>
              <w:t>区域）</w:t>
            </w:r>
          </w:p>
        </w:tc>
      </w:tr>
      <w:tr w:rsidR="000E4E2B" w:rsidRPr="002D622D" w14:paraId="31776465" w14:textId="77777777" w:rsidTr="00E56BC1">
        <w:trPr>
          <w:trHeight w:val="708"/>
        </w:trPr>
        <w:tc>
          <w:tcPr>
            <w:tcW w:w="565" w:type="dxa"/>
            <w:noWrap/>
          </w:tcPr>
          <w:p w14:paraId="6B9645C0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3714" w:type="dxa"/>
          </w:tcPr>
          <w:p w14:paraId="7EFECD5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小鼠实验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饲养区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的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动物均需来源于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繁殖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饲养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区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或指定动物</w:t>
            </w:r>
            <w:proofErr w:type="gramStart"/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供应商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且检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疫合格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（维通利华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、华阜康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），课题组从其他渠道引进动物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，必须净化之后才能进入设施。</w:t>
            </w:r>
          </w:p>
        </w:tc>
        <w:tc>
          <w:tcPr>
            <w:tcW w:w="4735" w:type="dxa"/>
          </w:tcPr>
          <w:p w14:paraId="101930F2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若有违规，暂停违规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者门卡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；如造成动物感染，所有相关动物降级处理，由此产生的检测费、污染房间饲养费、胚胎移植费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由导致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事故课题组承担。</w:t>
            </w:r>
          </w:p>
        </w:tc>
      </w:tr>
      <w:tr w:rsidR="000E4E2B" w:rsidRPr="002D622D" w14:paraId="02C74C95" w14:textId="77777777" w:rsidTr="00E56BC1">
        <w:trPr>
          <w:trHeight w:val="708"/>
        </w:trPr>
        <w:tc>
          <w:tcPr>
            <w:tcW w:w="565" w:type="dxa"/>
            <w:noWrap/>
          </w:tcPr>
          <w:p w14:paraId="4C533E2C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3714" w:type="dxa"/>
          </w:tcPr>
          <w:p w14:paraId="308502C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课题组传入动物房的每一批实验材料及试剂（药物或其他试剂）均需提前提供样品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给中心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，且实验后留样供检测部门检查。一旦发现病原体，受试动物必须立即淘汰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79C7D870" w14:textId="77777777" w:rsidR="000E4E2B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年；违规三次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0E4E2B" w:rsidRPr="002D622D" w14:paraId="0F5E0AE8" w14:textId="77777777" w:rsidTr="00E56BC1">
        <w:trPr>
          <w:trHeight w:val="708"/>
        </w:trPr>
        <w:tc>
          <w:tcPr>
            <w:tcW w:w="565" w:type="dxa"/>
            <w:noWrap/>
          </w:tcPr>
          <w:p w14:paraId="32D1A867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</w:t>
            </w:r>
            <w:r w:rsidRPr="002D622D"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3714" w:type="dxa"/>
          </w:tcPr>
          <w:p w14:paraId="30363AB5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实验人员收到动物中心检疫合格通知邮件后领取预定的动物，严禁没有收到检疫合格通知就直接领取动物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2B770094" w14:textId="77777777" w:rsidR="000E4E2B" w:rsidRPr="002D622D" w:rsidRDefault="000E4E2B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</w:t>
            </w:r>
            <w:r w:rsidR="00315586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两次及以上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  <w:tr w:rsidR="00315586" w:rsidRPr="002D622D" w14:paraId="6DACE579" w14:textId="77777777" w:rsidTr="00E56BC1">
        <w:trPr>
          <w:trHeight w:val="708"/>
        </w:trPr>
        <w:tc>
          <w:tcPr>
            <w:tcW w:w="565" w:type="dxa"/>
            <w:noWrap/>
          </w:tcPr>
          <w:p w14:paraId="25D5114B" w14:textId="77777777" w:rsidR="00315586" w:rsidRPr="002D622D" w:rsidRDefault="00AD532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3714" w:type="dxa"/>
          </w:tcPr>
          <w:p w14:paraId="7A0527C2" w14:textId="77777777" w:rsidR="00315586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严禁长期占用检疫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室笼位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4735" w:type="dxa"/>
          </w:tcPr>
          <w:p w14:paraId="32D3428D" w14:textId="77777777" w:rsidR="00315586" w:rsidRPr="002D622D" w:rsidRDefault="00315586" w:rsidP="002D622D">
            <w:pPr>
              <w:widowControl/>
              <w:spacing w:line="2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4"/>
              </w:rPr>
            </w:pP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违规一次，动物中心将邮件告知违规者并抄送所在实验室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PI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，并暂停违规者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周；违规两次，暂停违规者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个月；违规三次，暂停违规者</w:t>
            </w:r>
            <w:proofErr w:type="gramStart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门禁卡</w:t>
            </w:r>
            <w:proofErr w:type="gramEnd"/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年；违规</w:t>
            </w:r>
            <w:r w:rsidR="009A5CEB"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四次及以上</w:t>
            </w:r>
            <w:r w:rsidRPr="002D622D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4"/>
              </w:rPr>
              <w:t>，取消违规者进入动物设施的权限。</w:t>
            </w:r>
          </w:p>
        </w:tc>
      </w:tr>
    </w:tbl>
    <w:p w14:paraId="1CEC5363" w14:textId="77777777" w:rsidR="000E4E2B" w:rsidRPr="002D622D" w:rsidRDefault="000E4E2B" w:rsidP="002D622D">
      <w:pPr>
        <w:widowControl/>
        <w:spacing w:line="260" w:lineRule="exact"/>
        <w:jc w:val="left"/>
        <w:rPr>
          <w:rFonts w:ascii="Times New Roman" w:eastAsia="仿宋" w:hAnsi="Times New Roman"/>
          <w:color w:val="000000"/>
          <w:kern w:val="0"/>
          <w:sz w:val="22"/>
          <w:szCs w:val="24"/>
        </w:rPr>
      </w:pPr>
    </w:p>
    <w:p w14:paraId="3147BD54" w14:textId="77777777" w:rsidR="000E4E2B" w:rsidRPr="002D622D" w:rsidRDefault="000E4E2B" w:rsidP="002D622D">
      <w:pPr>
        <w:widowControl/>
        <w:spacing w:line="260" w:lineRule="exact"/>
        <w:jc w:val="left"/>
        <w:rPr>
          <w:rFonts w:ascii="Times New Roman" w:eastAsia="仿宋" w:hAnsi="Times New Roman"/>
          <w:color w:val="000000"/>
          <w:kern w:val="0"/>
          <w:sz w:val="22"/>
          <w:szCs w:val="24"/>
        </w:rPr>
      </w:pPr>
    </w:p>
    <w:sectPr w:rsidR="000E4E2B" w:rsidRPr="002D622D" w:rsidSect="00E56BC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88D0" w14:textId="77777777" w:rsidR="002D1DB4" w:rsidRDefault="002D1DB4">
      <w:r>
        <w:separator/>
      </w:r>
    </w:p>
  </w:endnote>
  <w:endnote w:type="continuationSeparator" w:id="0">
    <w:p w14:paraId="5E4C331F" w14:textId="77777777" w:rsidR="002D1DB4" w:rsidRDefault="002D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4955" w14:textId="77777777" w:rsidR="000E4E2B" w:rsidRDefault="000E4E2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445A" w:rsidRPr="0040445A">
      <w:rPr>
        <w:noProof/>
        <w:lang w:val="zh-CN"/>
      </w:rPr>
      <w:t>5</w:t>
    </w:r>
    <w:r>
      <w:fldChar w:fldCharType="end"/>
    </w:r>
  </w:p>
  <w:p w14:paraId="4901F222" w14:textId="77777777" w:rsidR="000E4E2B" w:rsidRDefault="000E4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6230" w14:textId="77777777" w:rsidR="002D1DB4" w:rsidRDefault="002D1DB4">
      <w:r>
        <w:separator/>
      </w:r>
    </w:p>
  </w:footnote>
  <w:footnote w:type="continuationSeparator" w:id="0">
    <w:p w14:paraId="7064687A" w14:textId="77777777" w:rsidR="002D1DB4" w:rsidRDefault="002D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4"/>
    <w:rsid w:val="000001C0"/>
    <w:rsid w:val="00013D34"/>
    <w:rsid w:val="00036E8A"/>
    <w:rsid w:val="0006566C"/>
    <w:rsid w:val="0007047A"/>
    <w:rsid w:val="00084190"/>
    <w:rsid w:val="00097729"/>
    <w:rsid w:val="000A5223"/>
    <w:rsid w:val="000D3D99"/>
    <w:rsid w:val="000E171A"/>
    <w:rsid w:val="000E4218"/>
    <w:rsid w:val="000E4E2B"/>
    <w:rsid w:val="000E6AA4"/>
    <w:rsid w:val="000E753C"/>
    <w:rsid w:val="00121DB0"/>
    <w:rsid w:val="001A3FB2"/>
    <w:rsid w:val="001A577B"/>
    <w:rsid w:val="001C6524"/>
    <w:rsid w:val="001C7D78"/>
    <w:rsid w:val="001D1F29"/>
    <w:rsid w:val="001D5D63"/>
    <w:rsid w:val="001D6B1A"/>
    <w:rsid w:val="001D6E2F"/>
    <w:rsid w:val="001F2796"/>
    <w:rsid w:val="0020419B"/>
    <w:rsid w:val="0024299E"/>
    <w:rsid w:val="0026576C"/>
    <w:rsid w:val="0027304E"/>
    <w:rsid w:val="002A1628"/>
    <w:rsid w:val="002B678B"/>
    <w:rsid w:val="002B7089"/>
    <w:rsid w:val="002C723E"/>
    <w:rsid w:val="002D1DB4"/>
    <w:rsid w:val="002D622D"/>
    <w:rsid w:val="0030109C"/>
    <w:rsid w:val="00315586"/>
    <w:rsid w:val="00340E28"/>
    <w:rsid w:val="00357CB3"/>
    <w:rsid w:val="0036190A"/>
    <w:rsid w:val="00383B07"/>
    <w:rsid w:val="00385C1B"/>
    <w:rsid w:val="003A31DD"/>
    <w:rsid w:val="003A7B37"/>
    <w:rsid w:val="003B0DB5"/>
    <w:rsid w:val="003B3FEE"/>
    <w:rsid w:val="003C34DD"/>
    <w:rsid w:val="003D6DF1"/>
    <w:rsid w:val="0040445A"/>
    <w:rsid w:val="0040455D"/>
    <w:rsid w:val="00456AD4"/>
    <w:rsid w:val="004606F9"/>
    <w:rsid w:val="00463B3C"/>
    <w:rsid w:val="00474C65"/>
    <w:rsid w:val="004C68AF"/>
    <w:rsid w:val="004D6E43"/>
    <w:rsid w:val="004E6311"/>
    <w:rsid w:val="00501D54"/>
    <w:rsid w:val="00503C8A"/>
    <w:rsid w:val="00503F90"/>
    <w:rsid w:val="0050449B"/>
    <w:rsid w:val="00525CD1"/>
    <w:rsid w:val="005264CA"/>
    <w:rsid w:val="00563FD3"/>
    <w:rsid w:val="005848A2"/>
    <w:rsid w:val="00586C6B"/>
    <w:rsid w:val="005A0CFB"/>
    <w:rsid w:val="005A4497"/>
    <w:rsid w:val="005A62DD"/>
    <w:rsid w:val="005D6094"/>
    <w:rsid w:val="00626777"/>
    <w:rsid w:val="00653211"/>
    <w:rsid w:val="00663997"/>
    <w:rsid w:val="00666307"/>
    <w:rsid w:val="00674F03"/>
    <w:rsid w:val="00682838"/>
    <w:rsid w:val="00691EE5"/>
    <w:rsid w:val="006B56E2"/>
    <w:rsid w:val="006C0741"/>
    <w:rsid w:val="006C6609"/>
    <w:rsid w:val="006E1136"/>
    <w:rsid w:val="006E2EFE"/>
    <w:rsid w:val="006F1B45"/>
    <w:rsid w:val="0070216D"/>
    <w:rsid w:val="007318E6"/>
    <w:rsid w:val="0073604C"/>
    <w:rsid w:val="007716D0"/>
    <w:rsid w:val="0078411D"/>
    <w:rsid w:val="00786AF2"/>
    <w:rsid w:val="007934FB"/>
    <w:rsid w:val="00797A8C"/>
    <w:rsid w:val="007B5355"/>
    <w:rsid w:val="007C2E62"/>
    <w:rsid w:val="007D17A4"/>
    <w:rsid w:val="007D1FD2"/>
    <w:rsid w:val="007D406F"/>
    <w:rsid w:val="007D57B5"/>
    <w:rsid w:val="007E469C"/>
    <w:rsid w:val="007F1B16"/>
    <w:rsid w:val="00801DB0"/>
    <w:rsid w:val="00806753"/>
    <w:rsid w:val="008250AF"/>
    <w:rsid w:val="00832DB0"/>
    <w:rsid w:val="00847FC1"/>
    <w:rsid w:val="00857ADA"/>
    <w:rsid w:val="00864F04"/>
    <w:rsid w:val="0089075A"/>
    <w:rsid w:val="00890ACC"/>
    <w:rsid w:val="008A1D44"/>
    <w:rsid w:val="008A375F"/>
    <w:rsid w:val="008A4EEC"/>
    <w:rsid w:val="008B400C"/>
    <w:rsid w:val="008C405E"/>
    <w:rsid w:val="008E48B4"/>
    <w:rsid w:val="00914D29"/>
    <w:rsid w:val="0091688F"/>
    <w:rsid w:val="00965761"/>
    <w:rsid w:val="00965E1D"/>
    <w:rsid w:val="00976E5C"/>
    <w:rsid w:val="009A2FCA"/>
    <w:rsid w:val="009A5CEB"/>
    <w:rsid w:val="009A63B6"/>
    <w:rsid w:val="009B30AF"/>
    <w:rsid w:val="009E5C12"/>
    <w:rsid w:val="009E627E"/>
    <w:rsid w:val="009F391D"/>
    <w:rsid w:val="00A12802"/>
    <w:rsid w:val="00A148F3"/>
    <w:rsid w:val="00A331F2"/>
    <w:rsid w:val="00A50D75"/>
    <w:rsid w:val="00A558ED"/>
    <w:rsid w:val="00A62773"/>
    <w:rsid w:val="00A86B64"/>
    <w:rsid w:val="00A91B23"/>
    <w:rsid w:val="00A9325C"/>
    <w:rsid w:val="00AA5363"/>
    <w:rsid w:val="00AA6BFA"/>
    <w:rsid w:val="00AA6FC5"/>
    <w:rsid w:val="00AB2BDB"/>
    <w:rsid w:val="00AC03FA"/>
    <w:rsid w:val="00AD202D"/>
    <w:rsid w:val="00AD4DC8"/>
    <w:rsid w:val="00AD5326"/>
    <w:rsid w:val="00AF6F1D"/>
    <w:rsid w:val="00B261C4"/>
    <w:rsid w:val="00B309EF"/>
    <w:rsid w:val="00B52454"/>
    <w:rsid w:val="00B551BA"/>
    <w:rsid w:val="00B55C69"/>
    <w:rsid w:val="00B91738"/>
    <w:rsid w:val="00B93B34"/>
    <w:rsid w:val="00B9543F"/>
    <w:rsid w:val="00BA1F74"/>
    <w:rsid w:val="00BB16A7"/>
    <w:rsid w:val="00BD041A"/>
    <w:rsid w:val="00BD05E9"/>
    <w:rsid w:val="00BD09EC"/>
    <w:rsid w:val="00BE066D"/>
    <w:rsid w:val="00BE7E76"/>
    <w:rsid w:val="00BF6665"/>
    <w:rsid w:val="00C002DA"/>
    <w:rsid w:val="00C34282"/>
    <w:rsid w:val="00C355AF"/>
    <w:rsid w:val="00C4040E"/>
    <w:rsid w:val="00C45039"/>
    <w:rsid w:val="00C46F89"/>
    <w:rsid w:val="00C514FF"/>
    <w:rsid w:val="00C62645"/>
    <w:rsid w:val="00C93DCF"/>
    <w:rsid w:val="00CA02F4"/>
    <w:rsid w:val="00CC43EC"/>
    <w:rsid w:val="00CC77B6"/>
    <w:rsid w:val="00CE0228"/>
    <w:rsid w:val="00CF1F26"/>
    <w:rsid w:val="00D06043"/>
    <w:rsid w:val="00D13305"/>
    <w:rsid w:val="00D30A66"/>
    <w:rsid w:val="00D34595"/>
    <w:rsid w:val="00D453F4"/>
    <w:rsid w:val="00D62A63"/>
    <w:rsid w:val="00DA2362"/>
    <w:rsid w:val="00DA32B7"/>
    <w:rsid w:val="00DB44DE"/>
    <w:rsid w:val="00DC1908"/>
    <w:rsid w:val="00E02D86"/>
    <w:rsid w:val="00E136B6"/>
    <w:rsid w:val="00E22D25"/>
    <w:rsid w:val="00E462C9"/>
    <w:rsid w:val="00E5621D"/>
    <w:rsid w:val="00E56BC1"/>
    <w:rsid w:val="00E86829"/>
    <w:rsid w:val="00E91D2E"/>
    <w:rsid w:val="00F531A4"/>
    <w:rsid w:val="00F94A9B"/>
    <w:rsid w:val="00FC3AAF"/>
    <w:rsid w:val="00FE45F0"/>
    <w:rsid w:val="2C3C7082"/>
    <w:rsid w:val="33452875"/>
    <w:rsid w:val="65B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BBBA1"/>
  <w15:chartTrackingRefBased/>
  <w15:docId w15:val="{CF26D301-A7A6-40B3-82C3-447E6391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rPr>
      <w:kern w:val="2"/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kern w:val="2"/>
      <w:sz w:val="16"/>
      <w:szCs w:val="16"/>
    </w:rPr>
  </w:style>
  <w:style w:type="character" w:customStyle="1" w:styleId="aa">
    <w:name w:val="批注文字 字符"/>
    <w:link w:val="ab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link w:val="ad"/>
    <w:uiPriority w:val="99"/>
    <w:semiHidden/>
    <w:rPr>
      <w:b/>
      <w:bCs/>
      <w:kern w:val="2"/>
      <w:sz w:val="21"/>
      <w:szCs w:val="22"/>
    </w:rPr>
  </w:style>
  <w:style w:type="paragraph" w:styleId="ab">
    <w:name w:val="annotation text"/>
    <w:basedOn w:val="a"/>
    <w:link w:val="aa"/>
    <w:uiPriority w:val="99"/>
    <w:unhideWhenUsed/>
    <w:pPr>
      <w:jc w:val="left"/>
    </w:pPr>
  </w:style>
  <w:style w:type="paragraph" w:styleId="ad">
    <w:name w:val="annotation subject"/>
    <w:basedOn w:val="ab"/>
    <w:next w:val="ab"/>
    <w:link w:val="ac"/>
    <w:uiPriority w:val="99"/>
    <w:unhideWhenUsed/>
    <w:rPr>
      <w:b/>
      <w:bCs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6"/>
      <w:szCs w:val="16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黄晓冬</dc:creator>
  <cp:keywords/>
  <cp:lastModifiedBy>summer</cp:lastModifiedBy>
  <cp:revision>3</cp:revision>
  <cp:lastPrinted>2021-01-26T14:20:00Z</cp:lastPrinted>
  <dcterms:created xsi:type="dcterms:W3CDTF">2023-09-13T09:15:00Z</dcterms:created>
  <dcterms:modified xsi:type="dcterms:W3CDTF">2023-09-13T09:15:00Z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